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zh-CN"/>
        </w:rPr>
        <w:t>招标编号：ZB0101-1804-ZH301</w:t>
      </w:r>
    </w:p>
    <w:tbl>
      <w:tblPr>
        <w:tblStyle w:val="3"/>
        <w:tblW w:w="88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50"/>
        <w:gridCol w:w="2426"/>
        <w:gridCol w:w="691"/>
        <w:gridCol w:w="666"/>
        <w:gridCol w:w="1313"/>
        <w:gridCol w:w="1121"/>
        <w:gridCol w:w="1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6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包号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品目号</w:t>
            </w:r>
          </w:p>
        </w:tc>
        <w:tc>
          <w:tcPr>
            <w:tcW w:w="2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招标货物名称</w:t>
            </w:r>
          </w:p>
        </w:tc>
        <w:tc>
          <w:tcPr>
            <w:tcW w:w="6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6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交    货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时 间</w:t>
            </w: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地 点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01包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01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开放式虚拟仿真实验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教学管理平台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30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节点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合同签订之日起，10个日历天内送到湖北省内采购人指定地点，并完成本次项目软硬件的供货、布置、调试、安装等相关服务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指定安装地点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自签订《验收单》后的第二个工作日起算，所有虚拟仿真设备、软件及配套设备质保期不少于3年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超临界流体萃取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3D虚拟仿真实验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30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节点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03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洞道干燥3D虚拟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仿真实验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30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节点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04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立体投影机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台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05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投影机吊架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06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弧形幕系统（核心产品）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15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平方米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07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主动立体融合器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08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光学跟踪摄像头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个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09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光学位置跟踪管理系统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动捕数据同步器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主动立体发射器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主动立体眼镜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30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副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音响系统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系统集成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虚拟仿真综合运维平台（核心产品）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/>
              </w:rPr>
              <w:t>虚拟仿真运维终端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30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台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网络交换机、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外部接入防火墙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18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实验室改造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项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01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电工实训平台装置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套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</w:pPr>
      <w:r>
        <w:rPr>
          <w:rFonts w:hint="eastAsia"/>
          <w:b/>
          <w:bCs/>
          <w:sz w:val="21"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3D4C"/>
    <w:rsid w:val="0B3D3D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2018-04-03T09:40:00Z</dcterms:created>
  <dc:creator>Administrator</dc:creator>
  <cp:lastModifiedBy>Administrator</cp:lastModifiedBy>
  <dcterms:modified xsi:type="dcterms:W3CDTF">2018-04-03T09:40:19Z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